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FF61A" w14:textId="41DF8513" w:rsidR="00F1312E" w:rsidRPr="00586736" w:rsidRDefault="00F1312E" w:rsidP="00F1312E">
      <w:pPr>
        <w:spacing w:line="240" w:lineRule="auto"/>
        <w:contextualSpacing/>
        <w:rPr>
          <w:rFonts w:ascii="Univers Condensed" w:hAnsi="Univers Condensed" w:cs="Arial"/>
          <w:b/>
          <w:sz w:val="32"/>
          <w:szCs w:val="32"/>
        </w:rPr>
      </w:pPr>
      <w:r w:rsidRPr="00586736">
        <w:rPr>
          <w:rFonts w:ascii="Univers Condensed" w:hAnsi="Univers Condensed" w:cs="Arial"/>
          <w:b/>
          <w:noProof/>
          <w:sz w:val="32"/>
          <w:szCs w:val="32"/>
          <w:lang w:val="es-AR" w:eastAsia="es-AR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700F62E" wp14:editId="4AD330F5">
            <wp:simplePos x="0" y="0"/>
            <wp:positionH relativeFrom="margin">
              <wp:align>left</wp:align>
            </wp:positionH>
            <wp:positionV relativeFrom="paragraph">
              <wp:posOffset>-609600</wp:posOffset>
            </wp:positionV>
            <wp:extent cx="2214245" cy="603250"/>
            <wp:effectExtent l="0" t="0" r="0" b="6350"/>
            <wp:wrapNone/>
            <wp:docPr id="133931529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315292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191C4" w14:textId="65D165C8" w:rsidR="00F1312E" w:rsidRPr="00B6723F" w:rsidRDefault="000A5418" w:rsidP="00C275A1">
      <w:pPr>
        <w:spacing w:line="240" w:lineRule="auto"/>
        <w:contextualSpacing/>
        <w:jc w:val="both"/>
        <w:rPr>
          <w:rFonts w:ascii="Univers Condensed" w:hAnsi="Univers Condensed" w:cs="Arial"/>
          <w:b/>
          <w:sz w:val="32"/>
          <w:szCs w:val="32"/>
          <w:lang w:val="es-ES"/>
        </w:rPr>
      </w:pPr>
      <w:r w:rsidRPr="00586736">
        <w:rPr>
          <w:rFonts w:ascii="Univers Condensed" w:hAnsi="Univers Condensed" w:cs="Arial"/>
          <w:b/>
          <w:sz w:val="32"/>
          <w:szCs w:val="32"/>
          <w:lang w:val="es-ES_tradnl"/>
        </w:rPr>
        <w:t>D</w:t>
      </w:r>
      <w:r w:rsidR="009C240E" w:rsidRPr="00586736">
        <w:rPr>
          <w:rFonts w:ascii="Univers Condensed" w:hAnsi="Univers Condensed" w:cs="Arial"/>
          <w:b/>
          <w:sz w:val="32"/>
          <w:szCs w:val="32"/>
          <w:lang w:val="es-ES_tradnl"/>
        </w:rPr>
        <w:t>eclaración de la IFLA sobre el A</w:t>
      </w:r>
      <w:r w:rsidRPr="00586736">
        <w:rPr>
          <w:rFonts w:ascii="Univers Condensed" w:hAnsi="Univers Condensed" w:cs="Arial"/>
          <w:b/>
          <w:sz w:val="32"/>
          <w:szCs w:val="32"/>
          <w:lang w:val="es-ES_tradnl"/>
        </w:rPr>
        <w:t xml:space="preserve">cceso </w:t>
      </w:r>
      <w:r w:rsidR="009C240E" w:rsidRPr="00586736">
        <w:rPr>
          <w:rFonts w:ascii="Univers Condensed" w:hAnsi="Univers Condensed" w:cs="Arial"/>
          <w:b/>
          <w:sz w:val="32"/>
          <w:szCs w:val="32"/>
          <w:lang w:val="es-ES_tradnl"/>
        </w:rPr>
        <w:t>Universal a la I</w:t>
      </w:r>
      <w:r w:rsidRPr="00586736">
        <w:rPr>
          <w:rFonts w:ascii="Univers Condensed" w:hAnsi="Univers Condensed" w:cs="Arial"/>
          <w:b/>
          <w:sz w:val="32"/>
          <w:szCs w:val="32"/>
          <w:lang w:val="es-ES_tradnl"/>
        </w:rPr>
        <w:t xml:space="preserve">nformación </w:t>
      </w:r>
      <w:r w:rsidR="009C240E" w:rsidRPr="00586736">
        <w:rPr>
          <w:rFonts w:ascii="Univers Condensed" w:hAnsi="Univers Condensed" w:cs="Arial"/>
          <w:b/>
          <w:sz w:val="32"/>
          <w:szCs w:val="32"/>
          <w:lang w:val="es-ES_tradnl"/>
        </w:rPr>
        <w:t>Sanitaria</w:t>
      </w:r>
      <w:r w:rsidRPr="00586736">
        <w:rPr>
          <w:rFonts w:ascii="Univers Condensed" w:hAnsi="Univers Condensed" w:cs="Arial"/>
          <w:b/>
          <w:sz w:val="32"/>
          <w:szCs w:val="32"/>
          <w:lang w:val="es-ES_tradnl"/>
        </w:rPr>
        <w:t xml:space="preserve"> como </w:t>
      </w:r>
      <w:r w:rsidR="009C240E" w:rsidRPr="00586736">
        <w:rPr>
          <w:rFonts w:ascii="Univers Condensed" w:hAnsi="Univers Condensed" w:cs="Arial"/>
          <w:b/>
          <w:sz w:val="32"/>
          <w:szCs w:val="32"/>
          <w:lang w:val="es-ES_tradnl"/>
        </w:rPr>
        <w:t>D</w:t>
      </w:r>
      <w:r w:rsidRPr="00586736">
        <w:rPr>
          <w:rFonts w:ascii="Univers Condensed" w:hAnsi="Univers Condensed" w:cs="Arial"/>
          <w:b/>
          <w:sz w:val="32"/>
          <w:szCs w:val="32"/>
          <w:lang w:val="es-ES_tradnl"/>
        </w:rPr>
        <w:t xml:space="preserve">erecho </w:t>
      </w:r>
      <w:r w:rsidR="009C240E" w:rsidRPr="00586736">
        <w:rPr>
          <w:rFonts w:ascii="Univers Condensed" w:hAnsi="Univers Condensed" w:cs="Arial"/>
          <w:b/>
          <w:sz w:val="32"/>
          <w:szCs w:val="32"/>
          <w:lang w:val="es-ES_tradnl"/>
        </w:rPr>
        <w:t>H</w:t>
      </w:r>
      <w:r w:rsidRPr="00586736">
        <w:rPr>
          <w:rFonts w:ascii="Univers Condensed" w:hAnsi="Univers Condensed" w:cs="Arial"/>
          <w:b/>
          <w:sz w:val="32"/>
          <w:szCs w:val="32"/>
          <w:lang w:val="es-ES_tradnl"/>
        </w:rPr>
        <w:t>umano</w:t>
      </w:r>
    </w:p>
    <w:p w14:paraId="2AD1F88D" w14:textId="77777777" w:rsidR="00F1312E" w:rsidRPr="00B6723F" w:rsidRDefault="00F1312E" w:rsidP="00C275A1">
      <w:pPr>
        <w:spacing w:line="240" w:lineRule="auto"/>
        <w:contextualSpacing/>
        <w:jc w:val="both"/>
        <w:rPr>
          <w:rFonts w:ascii="Univers" w:hAnsi="Univers" w:cs="Arial"/>
          <w:sz w:val="24"/>
          <w:szCs w:val="24"/>
          <w:lang w:val="es-ES"/>
        </w:rPr>
      </w:pPr>
      <w:r w:rsidRPr="00B6723F">
        <w:rPr>
          <w:rFonts w:ascii="Univers" w:hAnsi="Univers" w:cs="Arial"/>
          <w:i/>
          <w:sz w:val="24"/>
          <w:szCs w:val="24"/>
          <w:lang w:val="es-ES"/>
        </w:rPr>
        <w:t xml:space="preserve">  </w:t>
      </w:r>
    </w:p>
    <w:p w14:paraId="53398224" w14:textId="3F01501A" w:rsidR="00764F8B" w:rsidRPr="00B6723F" w:rsidRDefault="000A5418" w:rsidP="00C275A1">
      <w:pPr>
        <w:spacing w:after="0" w:line="240" w:lineRule="auto"/>
        <w:jc w:val="both"/>
        <w:rPr>
          <w:rFonts w:ascii="Univers" w:hAnsi="Univers"/>
          <w:color w:val="000000" w:themeColor="text1"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 xml:space="preserve">La importancia del acceso a información sanitaria </w:t>
      </w:r>
      <w:r w:rsidR="001E76CB"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con</w:t>
      </w: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 xml:space="preserve">fiable, precisa, oportuna, comprensible y útil nunca ha sido tan evidente como desde el comienzo de la pandemia de </w:t>
      </w:r>
      <w:r w:rsidR="001E76CB"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COVID-</w:t>
      </w: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19.</w:t>
      </w:r>
      <w:r w:rsidR="00764F8B"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</w:t>
      </w: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En tiempos de crisis, la calidad y rapidez de la información sanitaria que reciben las personas puede ser determinante para su supervivencia.</w:t>
      </w:r>
      <w:r w:rsidR="00764F8B"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</w:t>
      </w: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 xml:space="preserve">La pandemia también arrojó luz sobre otra crisis mundial: la desigualdad en el suministro de información sanitaria confiable, como se ha puesto de relieve en la </w:t>
      </w:r>
      <w:hyperlink r:id="rId8">
        <w:r w:rsidR="007F4D08" w:rsidRPr="00586736">
          <w:rPr>
            <w:rStyle w:val="Hyperlink"/>
            <w:rFonts w:ascii="Univers" w:eastAsiaTheme="majorEastAsia" w:hAnsi="Univers"/>
            <w:color w:val="1155CC"/>
            <w:sz w:val="24"/>
            <w:szCs w:val="24"/>
            <w:lang w:val="es-ES_tradnl"/>
          </w:rPr>
          <w:t>Convocatoria de Cochrane</w:t>
        </w:r>
      </w:hyperlink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.</w:t>
      </w:r>
      <w:r w:rsidR="00764F8B"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</w:t>
      </w:r>
      <w:r w:rsidR="007F4D08"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Esta situación plantea un desafío no solo en lo referente a las respuestas sanitarias en tiempos de crisis, sino también respecto del objetivo de alcanzar la salud y el bienestar para todos, conforme a lo establecido en el ODS3.</w:t>
      </w:r>
    </w:p>
    <w:p w14:paraId="604280C8" w14:textId="77777777" w:rsidR="00764F8B" w:rsidRPr="00B6723F" w:rsidRDefault="00764F8B" w:rsidP="00C275A1">
      <w:pPr>
        <w:spacing w:after="0" w:line="240" w:lineRule="auto"/>
        <w:ind w:firstLine="360"/>
        <w:jc w:val="both"/>
        <w:rPr>
          <w:rFonts w:ascii="Univers" w:hAnsi="Univers"/>
          <w:sz w:val="24"/>
          <w:szCs w:val="24"/>
          <w:lang w:val="es-ES"/>
        </w:rPr>
      </w:pPr>
      <w:r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 </w:t>
      </w:r>
    </w:p>
    <w:p w14:paraId="72537376" w14:textId="52D3F279" w:rsidR="00764F8B" w:rsidRPr="00B6723F" w:rsidRDefault="00BC3EEA" w:rsidP="00C275A1">
      <w:pPr>
        <w:spacing w:after="0" w:line="240" w:lineRule="auto"/>
        <w:jc w:val="both"/>
        <w:rPr>
          <w:rFonts w:ascii="Univers" w:hAnsi="Univers"/>
          <w:color w:val="000000" w:themeColor="text1"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La IFLA cree y apoya el derecho humano fundamental a una información sanitaria confiable, como está implícito en la Declaración Universal de los Derechos Humanos.</w:t>
      </w:r>
      <w:r w:rsidR="00764F8B"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</w:t>
      </w:r>
      <w:r w:rsidR="00A178C4"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Creemos que este derecho está garantizado por los siguientes Artículos:</w:t>
      </w:r>
    </w:p>
    <w:p w14:paraId="707AB984" w14:textId="16F6F31D" w:rsidR="00E256B9" w:rsidRPr="00B6723F" w:rsidRDefault="00E256B9" w:rsidP="00C275A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el Artículo 19 de la Declaración, que afirma el derecho de las personas a recibir y difundir información sin limitaciones,</w:t>
      </w:r>
      <w:r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</w:t>
      </w:r>
    </w:p>
    <w:p w14:paraId="49E40EBE" w14:textId="77E1A581" w:rsidR="00E256B9" w:rsidRPr="00B6723F" w:rsidRDefault="00E256B9" w:rsidP="00C275A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 xml:space="preserve">el Artículo 25, que garantiza el derecho a un nivel de vida adecuado que asegure la salud, para lo cual el acceso a la información sanitaria se reconoce como un factor determinante, y </w:t>
      </w:r>
    </w:p>
    <w:p w14:paraId="13EFF594" w14:textId="12610D61" w:rsidR="00E256B9" w:rsidRPr="00B6723F" w:rsidRDefault="00E256B9" w:rsidP="00C275A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el Artículo 27, que consagra el derecho a participar en los beneficios del progreso científico.</w:t>
      </w:r>
      <w:r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</w:t>
      </w:r>
    </w:p>
    <w:p w14:paraId="34EABF86" w14:textId="77777777" w:rsidR="00764F8B" w:rsidRPr="00B6723F" w:rsidRDefault="00764F8B" w:rsidP="00C275A1">
      <w:pPr>
        <w:spacing w:after="0" w:line="240" w:lineRule="auto"/>
        <w:jc w:val="both"/>
        <w:rPr>
          <w:rFonts w:ascii="Univers" w:hAnsi="Univers"/>
          <w:sz w:val="24"/>
          <w:szCs w:val="24"/>
          <w:lang w:val="es-ES"/>
        </w:rPr>
      </w:pPr>
      <w:r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 </w:t>
      </w:r>
    </w:p>
    <w:p w14:paraId="2CC237D2" w14:textId="43A008EE" w:rsidR="00764F8B" w:rsidRPr="00B6723F" w:rsidRDefault="001A1CD3" w:rsidP="00C275A1">
      <w:pPr>
        <w:spacing w:after="0" w:line="240" w:lineRule="auto"/>
        <w:jc w:val="both"/>
        <w:rPr>
          <w:rFonts w:ascii="Univers" w:hAnsi="Univers"/>
          <w:vanish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A través de la Declaración y de textos posteriores, los gobiernos del mundo reconocieron que el acceso a información sanitaria es esencial para garantizar el derecho a la salud,</w:t>
      </w:r>
      <w:r w:rsidRPr="00586736">
        <w:rPr>
          <w:lang w:val="es-ES_tradnl"/>
        </w:rPr>
        <w:t xml:space="preserve"> </w:t>
      </w: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 xml:space="preserve">y acordaron que todas las personas tienen derecho a acceder a información lo más actualizada, creíble y precisa posible, basada en los resultados de los avances científicos, como medio para gozar de una vida lo más saludable posible.   </w:t>
      </w:r>
    </w:p>
    <w:p w14:paraId="31E43959" w14:textId="77777777" w:rsidR="00764F8B" w:rsidRPr="00B6723F" w:rsidRDefault="00764F8B" w:rsidP="00C275A1">
      <w:pPr>
        <w:spacing w:after="0" w:line="240" w:lineRule="auto"/>
        <w:ind w:firstLine="360"/>
        <w:jc w:val="both"/>
        <w:rPr>
          <w:rFonts w:ascii="Univers" w:hAnsi="Univers"/>
          <w:sz w:val="24"/>
          <w:szCs w:val="24"/>
          <w:lang w:val="es-ES"/>
        </w:rPr>
      </w:pPr>
      <w:r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 </w:t>
      </w:r>
    </w:p>
    <w:p w14:paraId="1B78DECE" w14:textId="71064CD7" w:rsidR="00764F8B" w:rsidRPr="00B6723F" w:rsidRDefault="0072616E" w:rsidP="00C275A1">
      <w:pPr>
        <w:spacing w:after="0" w:line="240" w:lineRule="auto"/>
        <w:jc w:val="both"/>
        <w:rPr>
          <w:rFonts w:ascii="Univers" w:hAnsi="Univers"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Sin embargo, esto dista mucho de ser así para todos.</w:t>
      </w:r>
      <w:r w:rsidR="00764F8B"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</w:t>
      </w: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 xml:space="preserve">El acceso universal exige invertir en la producción de información confiable, precisa y </w:t>
      </w:r>
      <w:r w:rsidR="00775859"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verificable</w:t>
      </w: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 xml:space="preserve"> que sea relevante para todos, en una forma y un lenguaje que permitan su comprensión.</w:t>
      </w:r>
      <w:r w:rsidR="00764F8B"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</w:t>
      </w:r>
      <w:r w:rsidR="00775859"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También requiere un marco jurídico y normas sociales favorables, infraestructura de difusión de la información que llegue a todos los miembros de la sociedad, una población alfabetizada en materia de salud y un cuerpo sólido de profesionales e instituciones de la información.</w:t>
      </w:r>
      <w:r w:rsidR="00764F8B"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</w:t>
      </w:r>
      <w:r w:rsidR="00BA74C9"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Todo ello depende, a su vez, de las actividades de promoción que se lleven a cabo tanto dentro de las comunidades como entre los responsables de la toma de decisiones.</w:t>
      </w:r>
      <w:r w:rsidR="00764F8B"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</w:t>
      </w:r>
    </w:p>
    <w:p w14:paraId="070845A7" w14:textId="77777777" w:rsidR="00764F8B" w:rsidRPr="00B6723F" w:rsidRDefault="00764F8B" w:rsidP="00C275A1">
      <w:pPr>
        <w:spacing w:after="0" w:line="240" w:lineRule="auto"/>
        <w:ind w:firstLine="360"/>
        <w:jc w:val="both"/>
        <w:rPr>
          <w:rFonts w:ascii="Univers" w:hAnsi="Univers"/>
          <w:sz w:val="24"/>
          <w:szCs w:val="24"/>
          <w:lang w:val="es-ES"/>
        </w:rPr>
      </w:pPr>
      <w:r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 </w:t>
      </w:r>
    </w:p>
    <w:p w14:paraId="6364CFB6" w14:textId="582361D1" w:rsidR="00764F8B" w:rsidRPr="00586736" w:rsidRDefault="00BA74C9" w:rsidP="00C275A1">
      <w:pPr>
        <w:spacing w:after="0" w:line="240" w:lineRule="auto"/>
        <w:jc w:val="both"/>
        <w:rPr>
          <w:rFonts w:ascii="Univers" w:hAnsi="Univers"/>
          <w:color w:val="000000" w:themeColor="text1"/>
          <w:sz w:val="24"/>
          <w:szCs w:val="24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lastRenderedPageBreak/>
        <w:t xml:space="preserve">La IFLA destaca su propio compromiso </w:t>
      </w:r>
      <w:r w:rsidR="00586736"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en la promoción</w:t>
      </w: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 xml:space="preserve"> </w:t>
      </w:r>
      <w:r w:rsidR="00586736"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d</w:t>
      </w: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 xml:space="preserve">el acceso universal a información sanitaria confiable como derecho humano y reitera los mensajes de su propia </w:t>
      </w:r>
      <w:hyperlink r:id="rId9">
        <w:r w:rsidR="00CE3696" w:rsidRPr="00586736">
          <w:rPr>
            <w:rStyle w:val="Hyperlink"/>
            <w:rFonts w:ascii="Univers" w:eastAsiaTheme="majorEastAsia" w:hAnsi="Univers"/>
            <w:color w:val="1155CC"/>
            <w:sz w:val="24"/>
            <w:szCs w:val="24"/>
            <w:lang w:val="es-ES_tradnl"/>
          </w:rPr>
          <w:t>Declaración sobre Acceso Abierto</w:t>
        </w:r>
      </w:hyperlink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.</w:t>
      </w:r>
      <w:r w:rsidR="00764F8B" w:rsidRPr="00B6723F"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  <w:t xml:space="preserve"> </w:t>
      </w:r>
      <w:r w:rsidR="00CE3696"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Además, la IFLA:</w:t>
      </w:r>
    </w:p>
    <w:p w14:paraId="6C4ADC83" w14:textId="77777777" w:rsidR="00764F8B" w:rsidRPr="00586736" w:rsidRDefault="00764F8B" w:rsidP="00C275A1">
      <w:pPr>
        <w:spacing w:after="0" w:line="240" w:lineRule="auto"/>
        <w:jc w:val="both"/>
        <w:rPr>
          <w:rFonts w:ascii="Univers" w:eastAsia="Arial" w:hAnsi="Univers" w:cs="Arial"/>
          <w:color w:val="000000" w:themeColor="text1"/>
          <w:sz w:val="24"/>
          <w:szCs w:val="24"/>
          <w:lang w:val="en-AU"/>
        </w:rPr>
      </w:pPr>
    </w:p>
    <w:p w14:paraId="08EF92A0" w14:textId="396B1FCA" w:rsidR="00586736" w:rsidRPr="00B6723F" w:rsidRDefault="00586736" w:rsidP="00C275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 xml:space="preserve">Insta a sus propios miembros y al sector bibliotecario en general: </w:t>
      </w:r>
    </w:p>
    <w:p w14:paraId="132A62EC" w14:textId="64F70FA0" w:rsidR="00586736" w:rsidRPr="00B6723F" w:rsidRDefault="004053AA" w:rsidP="00C275A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</w:pPr>
      <w:r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a</w:t>
      </w:r>
      <w:r w:rsidR="00586736"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 xml:space="preserve"> esforzarse por lograr el acceso universal a información sanitaria, tanto en sus prácticas como en su defensa y promoción de la profesión en las comunidades.</w:t>
      </w:r>
    </w:p>
    <w:p w14:paraId="77D30E40" w14:textId="6AEBE81D" w:rsidR="00586736" w:rsidRPr="00B6723F" w:rsidRDefault="00586736" w:rsidP="00C275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Insta a los gobiernos en todos los niveles:</w:t>
      </w:r>
    </w:p>
    <w:p w14:paraId="62F40486" w14:textId="460690B3" w:rsidR="00586736" w:rsidRPr="00B6723F" w:rsidRDefault="00586736" w:rsidP="00C275A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a reconocer explícitamente el derecho a la información sanitaria en la legislación nacional e internacional.</w:t>
      </w:r>
    </w:p>
    <w:p w14:paraId="7E688AF4" w14:textId="19E6B87C" w:rsidR="00586736" w:rsidRPr="00B6723F" w:rsidRDefault="00586736" w:rsidP="00C275A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a garantizar que las leyes y reglamentaciones favorezcan el derecho a la información sanitaria.</w:t>
      </w:r>
    </w:p>
    <w:p w14:paraId="145F5AC1" w14:textId="58E0C787" w:rsidR="00586736" w:rsidRPr="00B6723F" w:rsidRDefault="00586736" w:rsidP="00C275A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a apoyar la producción de información sanitaria que sea relevante para todos, en idiomas y formatos que permitan su comprensión y aplicación.</w:t>
      </w:r>
    </w:p>
    <w:p w14:paraId="32CB700B" w14:textId="03C99B79" w:rsidR="00586736" w:rsidRPr="00B6723F" w:rsidRDefault="00586736" w:rsidP="00C275A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a realizar las inversiones necesarias, tanto a nivel nacional como internacional, a través de la inversión en desarrollo, para garantizar una infraestructura sólida, eficaz e inclusiva que permita la difusión y aplicación de la información sanitaria en todas partes.</w:t>
      </w:r>
    </w:p>
    <w:p w14:paraId="4B78D02F" w14:textId="419F0AB1" w:rsidR="00586736" w:rsidRPr="00B6723F" w:rsidRDefault="00586736" w:rsidP="00C275A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Univers" w:eastAsia="Arial" w:hAnsi="Univers" w:cs="Arial"/>
          <w:color w:val="000000" w:themeColor="text1"/>
          <w:sz w:val="24"/>
          <w:szCs w:val="24"/>
          <w:lang w:val="es-ES"/>
        </w:rPr>
      </w:pPr>
      <w:r w:rsidRPr="00586736">
        <w:rPr>
          <w:rFonts w:ascii="Univers" w:eastAsia="Arial" w:hAnsi="Univers" w:cs="Arial"/>
          <w:color w:val="000000" w:themeColor="text1"/>
          <w:sz w:val="24"/>
          <w:szCs w:val="24"/>
          <w:lang w:val="es-ES_tradnl"/>
        </w:rPr>
        <w:t>a capacitar a las bibliotecas y otras organizaciones comunitarias para que promuevan el ejercicio del derecho a la información sanitaria, así como la colaboración entre estas organizaciones y las organizaciones sanitarias para garantizar el acceso óptimo y sostenible a información fidedigna, creíble, actualizada y precisa.</w:t>
      </w:r>
    </w:p>
    <w:p w14:paraId="4931CD28" w14:textId="77777777" w:rsidR="00F1312E" w:rsidRPr="00B6723F" w:rsidRDefault="00F1312E" w:rsidP="00C275A1">
      <w:pPr>
        <w:spacing w:after="0" w:line="240" w:lineRule="auto"/>
        <w:jc w:val="both"/>
        <w:rPr>
          <w:rFonts w:ascii="Univers" w:eastAsia="Arial" w:hAnsi="Univers" w:cs="Arial"/>
          <w:b/>
          <w:bCs/>
          <w:sz w:val="24"/>
          <w:szCs w:val="24"/>
          <w:lang w:val="es-ES" w:eastAsia="en-US"/>
        </w:rPr>
      </w:pPr>
    </w:p>
    <w:p w14:paraId="1BA5E18F" w14:textId="2DBB9C94" w:rsidR="00F1312E" w:rsidRPr="00B6723F" w:rsidRDefault="005E19F3" w:rsidP="00C275A1">
      <w:pPr>
        <w:spacing w:after="0" w:line="240" w:lineRule="auto"/>
        <w:jc w:val="both"/>
        <w:rPr>
          <w:rFonts w:ascii="Univers" w:eastAsia="Arial" w:hAnsi="Univers" w:cs="Arial"/>
          <w:i/>
          <w:iCs/>
          <w:sz w:val="24"/>
          <w:szCs w:val="24"/>
          <w:lang w:val="es-ES" w:eastAsia="en-US"/>
        </w:rPr>
      </w:pPr>
      <w:r w:rsidRPr="00586736">
        <w:rPr>
          <w:rFonts w:ascii="Univers" w:eastAsia="Arial" w:hAnsi="Univers" w:cs="Arial"/>
          <w:i/>
          <w:iCs/>
          <w:sz w:val="24"/>
          <w:szCs w:val="24"/>
          <w:lang w:val="es-ES_tradnl" w:eastAsia="en-US"/>
        </w:rPr>
        <w:t xml:space="preserve">Declaración elaborada por el Grupo de Interés Especial </w:t>
      </w:r>
      <w:r w:rsidR="003B076E" w:rsidRPr="00586736">
        <w:rPr>
          <w:rFonts w:ascii="Univers" w:eastAsia="Arial" w:hAnsi="Univers" w:cs="Arial"/>
          <w:i/>
          <w:iCs/>
          <w:sz w:val="24"/>
          <w:szCs w:val="24"/>
          <w:lang w:val="es-ES_tradnl" w:eastAsia="en-US"/>
        </w:rPr>
        <w:t>“</w:t>
      </w:r>
      <w:r w:rsidRPr="00586736">
        <w:rPr>
          <w:rFonts w:ascii="Univers" w:eastAsia="Arial" w:hAnsi="Univers" w:cs="Arial"/>
          <w:i/>
          <w:iCs/>
          <w:sz w:val="24"/>
          <w:szCs w:val="24"/>
          <w:lang w:val="es-ES_tradnl" w:eastAsia="en-US"/>
        </w:rPr>
        <w:t xml:space="preserve">Evidencia para la Salud Global y </w:t>
      </w:r>
      <w:r w:rsidR="003B076E" w:rsidRPr="00586736">
        <w:rPr>
          <w:rFonts w:ascii="Univers" w:eastAsia="Arial" w:hAnsi="Univers" w:cs="Arial"/>
          <w:i/>
          <w:iCs/>
          <w:sz w:val="24"/>
          <w:szCs w:val="24"/>
          <w:lang w:val="es-ES_tradnl" w:eastAsia="en-US"/>
        </w:rPr>
        <w:t xml:space="preserve">la Salud en Situaciones de Desastre” </w:t>
      </w:r>
      <w:r w:rsidRPr="00586736">
        <w:rPr>
          <w:rFonts w:ascii="Univers" w:eastAsia="Arial" w:hAnsi="Univers" w:cs="Arial"/>
          <w:i/>
          <w:iCs/>
          <w:sz w:val="24"/>
          <w:szCs w:val="24"/>
          <w:lang w:val="es-ES_tradnl" w:eastAsia="en-US"/>
        </w:rPr>
        <w:t>y las Secciones de Bibliotecas de Salud y Biociencias</w:t>
      </w:r>
      <w:r w:rsidR="003B076E" w:rsidRPr="00586736">
        <w:rPr>
          <w:rFonts w:ascii="Univers" w:eastAsia="Arial" w:hAnsi="Univers" w:cs="Arial"/>
          <w:i/>
          <w:iCs/>
          <w:sz w:val="24"/>
          <w:szCs w:val="24"/>
          <w:lang w:val="es-ES_tradnl" w:eastAsia="en-US"/>
        </w:rPr>
        <w:t xml:space="preserve"> de la IFLA</w:t>
      </w:r>
      <w:r w:rsidRPr="00586736">
        <w:rPr>
          <w:rFonts w:ascii="Univers" w:eastAsia="Arial" w:hAnsi="Univers" w:cs="Arial"/>
          <w:i/>
          <w:iCs/>
          <w:sz w:val="24"/>
          <w:szCs w:val="24"/>
          <w:lang w:val="es-ES_tradnl" w:eastAsia="en-US"/>
        </w:rPr>
        <w:t>, y aprobada por la Junta de Gobierno de la IFLA el 17 de abril de 2024.</w:t>
      </w:r>
      <w:r w:rsidR="003B076E" w:rsidRPr="00586736">
        <w:rPr>
          <w:lang w:val="es-ES_tradnl"/>
        </w:rPr>
        <w:t xml:space="preserve"> </w:t>
      </w:r>
    </w:p>
    <w:p w14:paraId="57008E7A" w14:textId="4DAB7F5A" w:rsidR="00E44577" w:rsidRPr="00B6723F" w:rsidRDefault="00E44577" w:rsidP="00C275A1">
      <w:pPr>
        <w:spacing w:after="0" w:line="240" w:lineRule="auto"/>
        <w:jc w:val="both"/>
        <w:rPr>
          <w:rFonts w:ascii="Univers" w:hAnsi="Univers"/>
          <w:sz w:val="24"/>
          <w:szCs w:val="24"/>
          <w:lang w:val="es-ES"/>
        </w:rPr>
      </w:pPr>
    </w:p>
    <w:p w14:paraId="636A9542" w14:textId="5D1FE2B2" w:rsidR="00C275A1" w:rsidRPr="00927BAF" w:rsidRDefault="00C275A1" w:rsidP="00C275A1">
      <w:pPr>
        <w:jc w:val="center"/>
        <w:rPr>
          <w:rFonts w:ascii="Cambria" w:hAnsi="Cambria"/>
          <w:i/>
          <w:iCs/>
          <w:sz w:val="24"/>
          <w:szCs w:val="24"/>
          <w:lang w:val="es-AR"/>
        </w:rPr>
      </w:pPr>
      <w:r w:rsidRPr="00927BAF">
        <w:rPr>
          <w:rFonts w:ascii="Cambria" w:hAnsi="Cambria"/>
          <w:i/>
          <w:iCs/>
          <w:sz w:val="24"/>
          <w:szCs w:val="24"/>
          <w:lang w:val="es-AR"/>
        </w:rPr>
        <w:t>Traducción del inglés del documento “</w:t>
      </w:r>
      <w:r w:rsidRPr="00927BAF">
        <w:rPr>
          <w:rFonts w:ascii="Cambria" w:hAnsi="Cambria"/>
          <w:iCs/>
          <w:sz w:val="24"/>
          <w:szCs w:val="24"/>
          <w:lang w:val="es-AR"/>
        </w:rPr>
        <w:t>IFLA Statement on Universal Access to Healthcare Information</w:t>
      </w:r>
      <w:r w:rsidRPr="00927BAF">
        <w:rPr>
          <w:rFonts w:ascii="Cambria" w:hAnsi="Cambria"/>
          <w:i/>
          <w:iCs/>
          <w:sz w:val="24"/>
          <w:szCs w:val="24"/>
          <w:lang w:val="es-AR"/>
        </w:rPr>
        <w:t xml:space="preserve">” realizada por la </w:t>
      </w:r>
      <w:r w:rsidRPr="00927BAF">
        <w:rPr>
          <w:rFonts w:ascii="Cambria" w:hAnsi="Cambria"/>
          <w:b/>
          <w:i/>
          <w:iCs/>
          <w:sz w:val="24"/>
          <w:szCs w:val="24"/>
          <w:lang w:val="es-AR"/>
        </w:rPr>
        <w:t>Subdirección</w:t>
      </w:r>
      <w:r w:rsidRPr="00927BAF">
        <w:rPr>
          <w:rFonts w:ascii="Cambria" w:hAnsi="Cambria"/>
          <w:i/>
          <w:iCs/>
          <w:sz w:val="24"/>
          <w:szCs w:val="24"/>
          <w:lang w:val="es-AR"/>
        </w:rPr>
        <w:t xml:space="preserve"> </w:t>
      </w:r>
      <w:r w:rsidRPr="00927BAF">
        <w:rPr>
          <w:rFonts w:ascii="Cambria" w:hAnsi="Cambria"/>
          <w:b/>
          <w:i/>
          <w:iCs/>
          <w:sz w:val="24"/>
          <w:szCs w:val="24"/>
          <w:lang w:val="es-AR"/>
        </w:rPr>
        <w:t>Traducciones de la Biblioteca del Congreso de la Nación Argentina</w:t>
      </w:r>
      <w:r w:rsidRPr="00927BAF">
        <w:rPr>
          <w:rFonts w:ascii="Cambria" w:hAnsi="Cambria"/>
          <w:i/>
          <w:iCs/>
          <w:sz w:val="24"/>
          <w:szCs w:val="24"/>
          <w:lang w:val="es-AR"/>
        </w:rPr>
        <w:t xml:space="preserve"> (traducciones@bcn.gob.ar)</w:t>
      </w:r>
    </w:p>
    <w:p w14:paraId="47417AE2" w14:textId="77777777" w:rsidR="00C275A1" w:rsidRPr="00B6723F" w:rsidRDefault="00C275A1" w:rsidP="00C275A1">
      <w:pPr>
        <w:spacing w:after="0" w:line="240" w:lineRule="auto"/>
        <w:jc w:val="both"/>
        <w:rPr>
          <w:rFonts w:ascii="Univers" w:hAnsi="Univers"/>
          <w:sz w:val="24"/>
          <w:szCs w:val="24"/>
          <w:lang w:val="es-ES"/>
        </w:rPr>
      </w:pPr>
    </w:p>
    <w:sectPr w:rsidR="00C275A1" w:rsidRPr="00B6723F" w:rsidSect="003766BE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1DC0E" w14:textId="77777777" w:rsidR="003766BE" w:rsidRDefault="003766BE" w:rsidP="00F1312E">
      <w:pPr>
        <w:spacing w:after="0" w:line="240" w:lineRule="auto"/>
      </w:pPr>
      <w:r>
        <w:separator/>
      </w:r>
    </w:p>
  </w:endnote>
  <w:endnote w:type="continuationSeparator" w:id="0">
    <w:p w14:paraId="665450A9" w14:textId="77777777" w:rsidR="003766BE" w:rsidRDefault="003766BE" w:rsidP="00F1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7014006"/>
      <w:docPartObj>
        <w:docPartGallery w:val="Page Numbers (Bottom of Page)"/>
        <w:docPartUnique/>
      </w:docPartObj>
    </w:sdtPr>
    <w:sdtEndPr>
      <w:rPr>
        <w:rFonts w:ascii="Univers Condensed" w:hAnsi="Univers Condensed"/>
        <w:b/>
        <w:bCs/>
        <w:noProof/>
        <w:sz w:val="24"/>
        <w:szCs w:val="24"/>
      </w:rPr>
    </w:sdtEndPr>
    <w:sdtContent>
      <w:p w14:paraId="63838890" w14:textId="7A3640E6" w:rsidR="00F1312E" w:rsidRPr="00F1312E" w:rsidRDefault="00F1312E">
        <w:pPr>
          <w:pStyle w:val="Footer"/>
          <w:jc w:val="center"/>
          <w:rPr>
            <w:rFonts w:ascii="Univers Condensed" w:hAnsi="Univers Condensed"/>
            <w:b/>
            <w:bCs/>
            <w:sz w:val="24"/>
            <w:szCs w:val="24"/>
          </w:rPr>
        </w:pPr>
        <w:r w:rsidRPr="00F1312E">
          <w:rPr>
            <w:rFonts w:ascii="Univers Condensed" w:hAnsi="Univers Condensed"/>
            <w:b/>
            <w:bCs/>
            <w:sz w:val="24"/>
            <w:szCs w:val="24"/>
          </w:rPr>
          <w:fldChar w:fldCharType="begin"/>
        </w:r>
        <w:r w:rsidRPr="00F1312E">
          <w:rPr>
            <w:rFonts w:ascii="Univers Condensed" w:hAnsi="Univers Condensed"/>
            <w:b/>
            <w:bCs/>
            <w:sz w:val="24"/>
            <w:szCs w:val="24"/>
          </w:rPr>
          <w:instrText xml:space="preserve"> PAGE   \* MERGEFORMAT </w:instrText>
        </w:r>
        <w:r w:rsidRPr="00F1312E">
          <w:rPr>
            <w:rFonts w:ascii="Univers Condensed" w:hAnsi="Univers Condensed"/>
            <w:b/>
            <w:bCs/>
            <w:sz w:val="24"/>
            <w:szCs w:val="24"/>
          </w:rPr>
          <w:fldChar w:fldCharType="separate"/>
        </w:r>
        <w:r w:rsidR="00927BAF">
          <w:rPr>
            <w:rFonts w:ascii="Univers Condensed" w:hAnsi="Univers Condensed"/>
            <w:b/>
            <w:bCs/>
            <w:noProof/>
            <w:sz w:val="24"/>
            <w:szCs w:val="24"/>
          </w:rPr>
          <w:t>2</w:t>
        </w:r>
        <w:r w:rsidRPr="00F1312E">
          <w:rPr>
            <w:rFonts w:ascii="Univers Condensed" w:hAnsi="Univers Condensed"/>
            <w:b/>
            <w:bCs/>
            <w:noProof/>
            <w:sz w:val="24"/>
            <w:szCs w:val="24"/>
          </w:rPr>
          <w:fldChar w:fldCharType="end"/>
        </w:r>
      </w:p>
    </w:sdtContent>
  </w:sdt>
  <w:p w14:paraId="5071D613" w14:textId="77777777" w:rsidR="00F1312E" w:rsidRDefault="00F13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7558021"/>
      <w:docPartObj>
        <w:docPartGallery w:val="Page Numbers (Bottom of Page)"/>
        <w:docPartUnique/>
      </w:docPartObj>
    </w:sdtPr>
    <w:sdtEndPr>
      <w:rPr>
        <w:rFonts w:ascii="Univers Condensed" w:hAnsi="Univers Condensed"/>
        <w:b/>
        <w:bCs/>
        <w:noProof/>
        <w:sz w:val="24"/>
        <w:szCs w:val="24"/>
      </w:rPr>
    </w:sdtEndPr>
    <w:sdtContent>
      <w:p w14:paraId="40599317" w14:textId="4FEBB77E" w:rsidR="00F1312E" w:rsidRPr="00F1312E" w:rsidRDefault="00F1312E">
        <w:pPr>
          <w:pStyle w:val="Footer"/>
          <w:jc w:val="center"/>
          <w:rPr>
            <w:rFonts w:ascii="Univers Condensed" w:hAnsi="Univers Condensed"/>
            <w:b/>
            <w:bCs/>
            <w:sz w:val="24"/>
            <w:szCs w:val="24"/>
          </w:rPr>
        </w:pPr>
        <w:r w:rsidRPr="00F1312E">
          <w:rPr>
            <w:rFonts w:ascii="Univers Condensed" w:hAnsi="Univers Condensed"/>
            <w:b/>
            <w:bCs/>
            <w:sz w:val="24"/>
            <w:szCs w:val="24"/>
          </w:rPr>
          <w:fldChar w:fldCharType="begin"/>
        </w:r>
        <w:r w:rsidRPr="00F1312E">
          <w:rPr>
            <w:rFonts w:ascii="Univers Condensed" w:hAnsi="Univers Condensed"/>
            <w:b/>
            <w:bCs/>
            <w:sz w:val="24"/>
            <w:szCs w:val="24"/>
          </w:rPr>
          <w:instrText xml:space="preserve"> PAGE   \* MERGEFORMAT </w:instrText>
        </w:r>
        <w:r w:rsidRPr="00F1312E">
          <w:rPr>
            <w:rFonts w:ascii="Univers Condensed" w:hAnsi="Univers Condensed"/>
            <w:b/>
            <w:bCs/>
            <w:sz w:val="24"/>
            <w:szCs w:val="24"/>
          </w:rPr>
          <w:fldChar w:fldCharType="separate"/>
        </w:r>
        <w:r w:rsidR="004053AA">
          <w:rPr>
            <w:rFonts w:ascii="Univers Condensed" w:hAnsi="Univers Condensed"/>
            <w:b/>
            <w:bCs/>
            <w:noProof/>
            <w:sz w:val="24"/>
            <w:szCs w:val="24"/>
          </w:rPr>
          <w:t>1</w:t>
        </w:r>
        <w:r w:rsidRPr="00F1312E">
          <w:rPr>
            <w:rFonts w:ascii="Univers Condensed" w:hAnsi="Univers Condensed"/>
            <w:b/>
            <w:bCs/>
            <w:noProof/>
            <w:sz w:val="24"/>
            <w:szCs w:val="24"/>
          </w:rPr>
          <w:fldChar w:fldCharType="end"/>
        </w:r>
      </w:p>
    </w:sdtContent>
  </w:sdt>
  <w:p w14:paraId="68A39EE2" w14:textId="77777777" w:rsidR="00F1312E" w:rsidRDefault="00F13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165E5" w14:textId="77777777" w:rsidR="003766BE" w:rsidRDefault="003766BE" w:rsidP="00F1312E">
      <w:pPr>
        <w:spacing w:after="0" w:line="240" w:lineRule="auto"/>
      </w:pPr>
      <w:r>
        <w:separator/>
      </w:r>
    </w:p>
  </w:footnote>
  <w:footnote w:type="continuationSeparator" w:id="0">
    <w:p w14:paraId="44CE796E" w14:textId="77777777" w:rsidR="003766BE" w:rsidRDefault="003766BE" w:rsidP="00F1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1B2A8" w14:textId="465B5411" w:rsidR="00F1312E" w:rsidRDefault="00F1312E">
    <w:pPr>
      <w:pStyle w:val="Header"/>
    </w:pPr>
    <w:r>
      <w:rPr>
        <w:rFonts w:ascii="Univers Condensed" w:hAnsi="Univers Condensed" w:cs="Arial"/>
        <w:b/>
        <w:noProof/>
        <w:sz w:val="32"/>
        <w:szCs w:val="32"/>
        <w:lang w:val="es-AR" w:eastAsia="es-AR"/>
        <w14:ligatures w14:val="standardContextual"/>
      </w:rPr>
      <w:drawing>
        <wp:anchor distT="0" distB="0" distL="114300" distR="114300" simplePos="0" relativeHeight="251659264" behindDoc="0" locked="0" layoutInCell="1" allowOverlap="1" wp14:anchorId="38B4F87A" wp14:editId="7ADFE89F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282700" cy="349459"/>
          <wp:effectExtent l="0" t="0" r="0" b="0"/>
          <wp:wrapNone/>
          <wp:docPr id="95474539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31529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4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8699E"/>
    <w:multiLevelType w:val="hybridMultilevel"/>
    <w:tmpl w:val="2B303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8C35"/>
    <w:multiLevelType w:val="hybridMultilevel"/>
    <w:tmpl w:val="BB88C304"/>
    <w:lvl w:ilvl="0" w:tplc="15FCA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68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C8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AF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EB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2E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6F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47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6A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1BAA"/>
    <w:multiLevelType w:val="hybridMultilevel"/>
    <w:tmpl w:val="C1A4228A"/>
    <w:lvl w:ilvl="0" w:tplc="37B22200">
      <w:start w:val="2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1690948">
    <w:abstractNumId w:val="2"/>
  </w:num>
  <w:num w:numId="2" w16cid:durableId="811867374">
    <w:abstractNumId w:val="1"/>
  </w:num>
  <w:num w:numId="3" w16cid:durableId="837815367">
    <w:abstractNumId w:val="2"/>
  </w:num>
  <w:num w:numId="4" w16cid:durableId="37547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2E"/>
    <w:rsid w:val="000A5418"/>
    <w:rsid w:val="0019298D"/>
    <w:rsid w:val="001A1CD3"/>
    <w:rsid w:val="001E76CB"/>
    <w:rsid w:val="00301760"/>
    <w:rsid w:val="003766BE"/>
    <w:rsid w:val="003B076E"/>
    <w:rsid w:val="004053AA"/>
    <w:rsid w:val="004F755B"/>
    <w:rsid w:val="00586736"/>
    <w:rsid w:val="005E19F3"/>
    <w:rsid w:val="006478F2"/>
    <w:rsid w:val="006720F8"/>
    <w:rsid w:val="006B01AF"/>
    <w:rsid w:val="0072616E"/>
    <w:rsid w:val="00764F8B"/>
    <w:rsid w:val="00775859"/>
    <w:rsid w:val="007B4EE5"/>
    <w:rsid w:val="007C1738"/>
    <w:rsid w:val="007F4D08"/>
    <w:rsid w:val="00920CF5"/>
    <w:rsid w:val="00927BAF"/>
    <w:rsid w:val="009C240E"/>
    <w:rsid w:val="00A178C4"/>
    <w:rsid w:val="00A75904"/>
    <w:rsid w:val="00A9371E"/>
    <w:rsid w:val="00B6723F"/>
    <w:rsid w:val="00B824E4"/>
    <w:rsid w:val="00BA74C9"/>
    <w:rsid w:val="00BC3EEA"/>
    <w:rsid w:val="00C275A1"/>
    <w:rsid w:val="00CE3696"/>
    <w:rsid w:val="00E256B9"/>
    <w:rsid w:val="00E44577"/>
    <w:rsid w:val="00F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0427A"/>
  <w15:chartTrackingRefBased/>
  <w15:docId w15:val="{90E146B5-8F0D-4AF9-A261-7CE1435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12E"/>
    <w:pPr>
      <w:spacing w:after="200" w:line="276" w:lineRule="auto"/>
    </w:pPr>
    <w:rPr>
      <w:rFonts w:ascii="Calibri" w:eastAsia="Times New Roman" w:hAnsi="Calibri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1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1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12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1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12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1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1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1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1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12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1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12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12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12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1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1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1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1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31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1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1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31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31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31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31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312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12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12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312E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1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12E"/>
    <w:rPr>
      <w:rFonts w:ascii="Calibri" w:eastAsia="Times New Roman" w:hAnsi="Calibri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1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12E"/>
    <w:rPr>
      <w:rFonts w:ascii="Calibri" w:eastAsia="Times New Roman" w:hAnsi="Calibri" w:cs="Times New Roman"/>
      <w:kern w:val="0"/>
      <w:lang w:eastAsia="en-GB"/>
      <w14:ligatures w14:val="none"/>
    </w:rPr>
  </w:style>
  <w:style w:type="character" w:styleId="Hyperlink">
    <w:name w:val="Hyperlink"/>
    <w:uiPriority w:val="99"/>
    <w:unhideWhenUsed/>
    <w:rsid w:val="00764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news/evidence-for-all-in-times-of-health-emergency-ifla-supports-cochrane-call-for-ac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la.org/news/10-years-of-the-ifla-open-access-statement-a-call-to-ac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Wyber</dc:creator>
  <cp:keywords/>
  <dc:description/>
  <cp:lastModifiedBy>Stephen Wyber</cp:lastModifiedBy>
  <cp:revision>7</cp:revision>
  <cp:lastPrinted>2024-04-30T17:03:00Z</cp:lastPrinted>
  <dcterms:created xsi:type="dcterms:W3CDTF">2024-04-29T15:42:00Z</dcterms:created>
  <dcterms:modified xsi:type="dcterms:W3CDTF">2024-04-30T17:03:00Z</dcterms:modified>
</cp:coreProperties>
</file>